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21" w:rsidRDefault="009916A5">
      <w:pPr>
        <w:spacing w:after="1325" w:line="259" w:lineRule="auto"/>
        <w:ind w:left="0" w:right="8550" w:firstLine="0"/>
        <w:jc w:val="left"/>
      </w:pPr>
      <w:r>
        <w:rPr>
          <w:b/>
          <w:noProof/>
        </w:rPr>
        <w:drawing>
          <wp:anchor distT="0" distB="0" distL="114300" distR="114300" simplePos="0" relativeHeight="251658240" behindDoc="1" locked="0" layoutInCell="1" allowOverlap="1">
            <wp:simplePos x="0" y="0"/>
            <wp:positionH relativeFrom="page">
              <wp:align>center</wp:align>
            </wp:positionH>
            <wp:positionV relativeFrom="paragraph">
              <wp:posOffset>213995</wp:posOffset>
            </wp:positionV>
            <wp:extent cx="1297940" cy="1297940"/>
            <wp:effectExtent l="0" t="0" r="0" b="0"/>
            <wp:wrapTight wrapText="bothSides">
              <wp:wrapPolygon edited="0">
                <wp:start x="10145" y="0"/>
                <wp:lineTo x="4755" y="5389"/>
                <wp:lineTo x="2219" y="10462"/>
                <wp:lineTo x="1268" y="15534"/>
                <wp:lineTo x="1268" y="18387"/>
                <wp:lineTo x="4121" y="19656"/>
                <wp:lineTo x="10145" y="20290"/>
                <wp:lineTo x="19973" y="20290"/>
                <wp:lineTo x="19973" y="15534"/>
                <wp:lineTo x="19022" y="10462"/>
                <wp:lineTo x="16485" y="5389"/>
                <wp:lineTo x="11413" y="0"/>
                <wp:lineTo x="101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b logo.png"/>
                    <pic:cNvPicPr/>
                  </pic:nvPicPr>
                  <pic:blipFill>
                    <a:blip r:embed="rId7">
                      <a:extLst>
                        <a:ext uri="{28A0092B-C50C-407E-A947-70E740481C1C}">
                          <a14:useLocalDpi xmlns:a14="http://schemas.microsoft.com/office/drawing/2010/main" val="0"/>
                        </a:ext>
                      </a:extLst>
                    </a:blip>
                    <a:stretch>
                      <a:fillRect/>
                    </a:stretch>
                  </pic:blipFill>
                  <pic:spPr>
                    <a:xfrm>
                      <a:off x="0" y="0"/>
                      <a:ext cx="1297940" cy="1297940"/>
                    </a:xfrm>
                    <a:prstGeom prst="rect">
                      <a:avLst/>
                    </a:prstGeom>
                  </pic:spPr>
                </pic:pic>
              </a:graphicData>
            </a:graphic>
            <wp14:sizeRelH relativeFrom="page">
              <wp14:pctWidth>0</wp14:pctWidth>
            </wp14:sizeRelH>
            <wp14:sizeRelV relativeFrom="page">
              <wp14:pctHeight>0</wp14:pctHeight>
            </wp14:sizeRelV>
          </wp:anchor>
        </w:drawing>
      </w:r>
      <w:r w:rsidR="004C007A">
        <w:rPr>
          <w:b/>
        </w:rPr>
        <w:t xml:space="preserve">  </w:t>
      </w:r>
    </w:p>
    <w:p w:rsidR="00F75321" w:rsidRDefault="004C007A">
      <w:pPr>
        <w:spacing w:after="92" w:line="216" w:lineRule="auto"/>
        <w:ind w:left="720" w:right="0" w:firstLine="0"/>
        <w:jc w:val="right"/>
      </w:pPr>
      <w:r>
        <w:rPr>
          <w:b/>
        </w:rPr>
        <w:t xml:space="preserve">  </w:t>
      </w:r>
    </w:p>
    <w:p w:rsidR="0035686E" w:rsidRDefault="004C007A">
      <w:pPr>
        <w:tabs>
          <w:tab w:val="center" w:pos="720"/>
          <w:tab w:val="center" w:pos="4826"/>
        </w:tabs>
        <w:spacing w:after="0" w:line="259" w:lineRule="auto"/>
        <w:ind w:left="0" w:right="0" w:firstLine="0"/>
        <w:jc w:val="left"/>
        <w:rPr>
          <w:b/>
        </w:rPr>
      </w:pPr>
      <w:r>
        <w:rPr>
          <w:rFonts w:ascii="Calibri" w:eastAsia="Calibri" w:hAnsi="Calibri" w:cs="Calibri"/>
        </w:rPr>
        <w:tab/>
      </w:r>
      <w:r>
        <w:rPr>
          <w:b/>
        </w:rPr>
        <w:t xml:space="preserve"> </w:t>
      </w:r>
      <w:r>
        <w:rPr>
          <w:b/>
        </w:rPr>
        <w:tab/>
      </w:r>
    </w:p>
    <w:p w:rsidR="0035686E" w:rsidRDefault="0035686E">
      <w:pPr>
        <w:tabs>
          <w:tab w:val="center" w:pos="720"/>
          <w:tab w:val="center" w:pos="4826"/>
        </w:tabs>
        <w:spacing w:after="0" w:line="259" w:lineRule="auto"/>
        <w:ind w:left="0" w:right="0" w:firstLine="0"/>
        <w:jc w:val="left"/>
        <w:rPr>
          <w:b/>
        </w:rPr>
      </w:pPr>
    </w:p>
    <w:p w:rsidR="00F75321" w:rsidRDefault="00F75321" w:rsidP="0035686E">
      <w:pPr>
        <w:tabs>
          <w:tab w:val="center" w:pos="720"/>
          <w:tab w:val="center" w:pos="4826"/>
        </w:tabs>
        <w:spacing w:after="0" w:line="259" w:lineRule="auto"/>
        <w:ind w:left="0" w:right="0" w:firstLine="0"/>
        <w:jc w:val="center"/>
        <w:rPr>
          <w:b/>
        </w:rPr>
      </w:pPr>
    </w:p>
    <w:p w:rsidR="0035686E" w:rsidRDefault="0035686E" w:rsidP="0035686E">
      <w:pPr>
        <w:tabs>
          <w:tab w:val="center" w:pos="720"/>
          <w:tab w:val="center" w:pos="4826"/>
        </w:tabs>
        <w:spacing w:after="0" w:line="259" w:lineRule="auto"/>
        <w:ind w:left="0" w:right="0" w:firstLine="0"/>
        <w:jc w:val="center"/>
      </w:pPr>
    </w:p>
    <w:p w:rsidR="00F75321" w:rsidRDefault="00F75321">
      <w:pPr>
        <w:sectPr w:rsidR="00F75321">
          <w:footerReference w:type="even" r:id="rId8"/>
          <w:footerReference w:type="default" r:id="rId9"/>
          <w:footerReference w:type="first" r:id="rId10"/>
          <w:pgSz w:w="11906" w:h="16838"/>
          <w:pgMar w:top="998" w:right="1441" w:bottom="1663" w:left="1853" w:header="720" w:footer="710" w:gutter="0"/>
          <w:cols w:space="720"/>
        </w:sectPr>
      </w:pPr>
    </w:p>
    <w:p w:rsidR="0035686E" w:rsidRPr="00C729BF" w:rsidRDefault="0035686E" w:rsidP="0035686E">
      <w:pPr>
        <w:spacing w:after="0"/>
        <w:jc w:val="center"/>
        <w:rPr>
          <w:sz w:val="40"/>
          <w:szCs w:val="40"/>
        </w:rPr>
      </w:pPr>
      <w:r w:rsidRPr="00D94F78">
        <w:rPr>
          <w:sz w:val="40"/>
          <w:szCs w:val="40"/>
        </w:rPr>
        <w:lastRenderedPageBreak/>
        <w:t xml:space="preserve">Trinity Academy </w:t>
      </w:r>
      <w:r w:rsidR="009916A5">
        <w:rPr>
          <w:sz w:val="40"/>
          <w:szCs w:val="40"/>
        </w:rPr>
        <w:t>Sowerby Bridge</w:t>
      </w:r>
    </w:p>
    <w:p w:rsidR="00F75321" w:rsidRDefault="004C007A">
      <w:pPr>
        <w:spacing w:after="29" w:line="259" w:lineRule="auto"/>
        <w:ind w:left="1440" w:right="0" w:firstLine="0"/>
        <w:jc w:val="left"/>
      </w:pPr>
      <w:r>
        <w:rPr>
          <w:b/>
        </w:rPr>
        <w:t xml:space="preserve"> </w:t>
      </w:r>
    </w:p>
    <w:p w:rsidR="00F75321" w:rsidRDefault="004C007A">
      <w:pPr>
        <w:spacing w:before="11" w:after="0" w:line="259" w:lineRule="auto"/>
        <w:ind w:left="0" w:right="0" w:firstLine="0"/>
        <w:jc w:val="left"/>
        <w:rPr>
          <w:b/>
          <w:sz w:val="32"/>
        </w:rPr>
      </w:pPr>
      <w:r>
        <w:rPr>
          <w:b/>
          <w:sz w:val="32"/>
        </w:rPr>
        <w:t xml:space="preserve"> </w:t>
      </w:r>
    </w:p>
    <w:tbl>
      <w:tblPr>
        <w:tblStyle w:val="TableGrid"/>
        <w:tblpPr w:vertAnchor="text" w:horzAnchor="margin" w:tblpXSpec="center" w:tblpY="215"/>
        <w:tblOverlap w:val="never"/>
        <w:tblW w:w="7847" w:type="dxa"/>
        <w:tblInd w:w="0" w:type="dxa"/>
        <w:tblLook w:val="04A0" w:firstRow="1" w:lastRow="0" w:firstColumn="1" w:lastColumn="0" w:noHBand="0" w:noVBand="1"/>
      </w:tblPr>
      <w:tblGrid>
        <w:gridCol w:w="4396"/>
        <w:gridCol w:w="3451"/>
      </w:tblGrid>
      <w:tr w:rsidR="0016576D" w:rsidTr="0016576D">
        <w:trPr>
          <w:trHeight w:val="1652"/>
        </w:trPr>
        <w:tc>
          <w:tcPr>
            <w:tcW w:w="4396" w:type="dxa"/>
            <w:tcBorders>
              <w:top w:val="nil"/>
              <w:left w:val="nil"/>
              <w:bottom w:val="nil"/>
              <w:right w:val="nil"/>
            </w:tcBorders>
          </w:tcPr>
          <w:p w:rsidR="0016576D" w:rsidRDefault="0016576D" w:rsidP="0016576D">
            <w:pPr>
              <w:spacing w:after="0" w:line="259" w:lineRule="auto"/>
              <w:ind w:left="108" w:right="0" w:firstLine="0"/>
              <w:jc w:val="left"/>
            </w:pPr>
          </w:p>
          <w:p w:rsidR="0016576D" w:rsidRDefault="0016576D" w:rsidP="0016576D">
            <w:pPr>
              <w:spacing w:after="0" w:line="259" w:lineRule="auto"/>
              <w:ind w:left="108" w:right="0" w:firstLine="0"/>
              <w:jc w:val="left"/>
            </w:pPr>
            <w:r>
              <w:rPr>
                <w:b/>
                <w:sz w:val="36"/>
              </w:rPr>
              <w:t xml:space="preserve"> </w:t>
            </w:r>
          </w:p>
          <w:p w:rsidR="0016576D" w:rsidRDefault="0016576D" w:rsidP="0016576D">
            <w:pPr>
              <w:spacing w:after="0" w:line="259" w:lineRule="auto"/>
              <w:ind w:left="108" w:right="0" w:firstLine="0"/>
              <w:jc w:val="left"/>
            </w:pPr>
            <w:r>
              <w:rPr>
                <w:b/>
                <w:sz w:val="36"/>
              </w:rPr>
              <w:t xml:space="preserve">Policy: </w:t>
            </w:r>
          </w:p>
          <w:p w:rsidR="0016576D" w:rsidRDefault="0016576D" w:rsidP="0016576D">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16576D" w:rsidRDefault="0016576D" w:rsidP="0016576D">
            <w:pPr>
              <w:spacing w:after="0" w:line="259" w:lineRule="auto"/>
              <w:ind w:left="142" w:right="0" w:firstLine="0"/>
              <w:jc w:val="left"/>
            </w:pPr>
            <w:r>
              <w:rPr>
                <w:sz w:val="36"/>
              </w:rPr>
              <w:t xml:space="preserve"> </w:t>
            </w:r>
          </w:p>
          <w:p w:rsidR="0016576D" w:rsidRDefault="0016576D" w:rsidP="0016576D">
            <w:pPr>
              <w:spacing w:after="0" w:line="259" w:lineRule="auto"/>
              <w:ind w:left="142" w:right="0" w:firstLine="0"/>
              <w:jc w:val="left"/>
            </w:pPr>
            <w:r>
              <w:rPr>
                <w:sz w:val="36"/>
              </w:rPr>
              <w:t xml:space="preserve"> </w:t>
            </w:r>
          </w:p>
          <w:p w:rsidR="0016576D" w:rsidRDefault="0016576D" w:rsidP="0016576D">
            <w:pPr>
              <w:spacing w:after="0" w:line="259" w:lineRule="auto"/>
              <w:ind w:left="142" w:right="0" w:firstLine="0"/>
              <w:jc w:val="left"/>
            </w:pPr>
            <w:r>
              <w:rPr>
                <w:sz w:val="36"/>
              </w:rPr>
              <w:t xml:space="preserve">Careers Policy  </w:t>
            </w:r>
          </w:p>
          <w:p w:rsidR="0016576D" w:rsidRDefault="0016576D" w:rsidP="0016576D">
            <w:pPr>
              <w:spacing w:after="0" w:line="259" w:lineRule="auto"/>
              <w:ind w:left="142" w:right="0" w:firstLine="0"/>
              <w:jc w:val="left"/>
            </w:pPr>
            <w:r>
              <w:rPr>
                <w:sz w:val="36"/>
              </w:rPr>
              <w:t xml:space="preserve"> </w:t>
            </w:r>
          </w:p>
        </w:tc>
      </w:tr>
      <w:tr w:rsidR="0016576D" w:rsidTr="0016576D">
        <w:trPr>
          <w:trHeight w:val="827"/>
        </w:trPr>
        <w:tc>
          <w:tcPr>
            <w:tcW w:w="4396" w:type="dxa"/>
            <w:tcBorders>
              <w:top w:val="nil"/>
              <w:left w:val="nil"/>
              <w:bottom w:val="nil"/>
              <w:right w:val="nil"/>
            </w:tcBorders>
          </w:tcPr>
          <w:p w:rsidR="0016576D" w:rsidRDefault="0016576D" w:rsidP="0016576D">
            <w:pPr>
              <w:spacing w:after="0" w:line="259" w:lineRule="auto"/>
              <w:ind w:left="108" w:right="0" w:firstLine="0"/>
              <w:jc w:val="left"/>
            </w:pPr>
            <w:r>
              <w:rPr>
                <w:b/>
                <w:sz w:val="36"/>
              </w:rPr>
              <w:t xml:space="preserve">Date of review: </w:t>
            </w:r>
          </w:p>
          <w:p w:rsidR="0016576D" w:rsidRDefault="0016576D" w:rsidP="0016576D">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16576D" w:rsidRDefault="00E266F9" w:rsidP="0016576D">
            <w:pPr>
              <w:spacing w:after="0" w:line="259" w:lineRule="auto"/>
              <w:ind w:left="142" w:right="0" w:firstLine="0"/>
              <w:jc w:val="left"/>
            </w:pPr>
            <w:r>
              <w:rPr>
                <w:sz w:val="36"/>
              </w:rPr>
              <w:t>September 2020</w:t>
            </w:r>
          </w:p>
        </w:tc>
      </w:tr>
      <w:tr w:rsidR="0016576D" w:rsidTr="0016576D">
        <w:trPr>
          <w:trHeight w:val="828"/>
        </w:trPr>
        <w:tc>
          <w:tcPr>
            <w:tcW w:w="4396" w:type="dxa"/>
            <w:tcBorders>
              <w:top w:val="nil"/>
              <w:left w:val="nil"/>
              <w:bottom w:val="nil"/>
              <w:right w:val="nil"/>
            </w:tcBorders>
          </w:tcPr>
          <w:p w:rsidR="0016576D" w:rsidRDefault="0016576D" w:rsidP="0016576D">
            <w:pPr>
              <w:spacing w:after="0" w:line="259" w:lineRule="auto"/>
              <w:ind w:left="108" w:right="0" w:firstLine="0"/>
              <w:jc w:val="left"/>
            </w:pPr>
            <w:r>
              <w:rPr>
                <w:b/>
                <w:sz w:val="36"/>
              </w:rPr>
              <w:t xml:space="preserve">Date of next review: </w:t>
            </w:r>
          </w:p>
          <w:p w:rsidR="0016576D" w:rsidRDefault="0016576D" w:rsidP="0016576D">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16576D" w:rsidRDefault="00E266F9" w:rsidP="0016576D">
            <w:pPr>
              <w:spacing w:after="0" w:line="259" w:lineRule="auto"/>
              <w:ind w:left="142" w:right="0" w:firstLine="0"/>
              <w:jc w:val="left"/>
            </w:pPr>
            <w:r>
              <w:rPr>
                <w:sz w:val="36"/>
              </w:rPr>
              <w:t>September 2021</w:t>
            </w:r>
            <w:r w:rsidR="0016576D">
              <w:rPr>
                <w:sz w:val="36"/>
              </w:rPr>
              <w:t xml:space="preserve"> </w:t>
            </w:r>
          </w:p>
        </w:tc>
      </w:tr>
      <w:tr w:rsidR="0016576D" w:rsidTr="0016576D">
        <w:trPr>
          <w:trHeight w:val="827"/>
        </w:trPr>
        <w:tc>
          <w:tcPr>
            <w:tcW w:w="4396" w:type="dxa"/>
            <w:tcBorders>
              <w:top w:val="nil"/>
              <w:left w:val="nil"/>
              <w:bottom w:val="nil"/>
              <w:right w:val="nil"/>
            </w:tcBorders>
          </w:tcPr>
          <w:p w:rsidR="0016576D" w:rsidRDefault="0016576D" w:rsidP="0016576D">
            <w:pPr>
              <w:spacing w:after="0" w:line="259" w:lineRule="auto"/>
              <w:ind w:left="108" w:right="0" w:firstLine="0"/>
              <w:jc w:val="left"/>
            </w:pPr>
            <w:r>
              <w:rPr>
                <w:b/>
                <w:sz w:val="36"/>
              </w:rPr>
              <w:t xml:space="preserve">Lead professional: </w:t>
            </w:r>
          </w:p>
          <w:p w:rsidR="0016576D" w:rsidRDefault="0016576D" w:rsidP="0016576D">
            <w:pPr>
              <w:spacing w:after="0" w:line="259" w:lineRule="auto"/>
              <w:ind w:left="108" w:right="0" w:firstLine="0"/>
              <w:jc w:val="left"/>
            </w:pPr>
            <w:r>
              <w:rPr>
                <w:b/>
                <w:sz w:val="36"/>
              </w:rPr>
              <w:t xml:space="preserve"> </w:t>
            </w:r>
          </w:p>
        </w:tc>
        <w:tc>
          <w:tcPr>
            <w:tcW w:w="3451" w:type="dxa"/>
            <w:tcBorders>
              <w:top w:val="nil"/>
              <w:left w:val="nil"/>
              <w:bottom w:val="nil"/>
              <w:right w:val="nil"/>
            </w:tcBorders>
          </w:tcPr>
          <w:p w:rsidR="0016576D" w:rsidRDefault="009916A5" w:rsidP="009916A5">
            <w:pPr>
              <w:spacing w:after="0" w:line="259" w:lineRule="auto"/>
              <w:ind w:left="142" w:right="0" w:firstLine="0"/>
              <w:jc w:val="left"/>
            </w:pPr>
            <w:proofErr w:type="spellStart"/>
            <w:r w:rsidRPr="00D94F78">
              <w:rPr>
                <w:sz w:val="36"/>
              </w:rPr>
              <w:t>R.Stothers</w:t>
            </w:r>
            <w:proofErr w:type="spellEnd"/>
            <w:r w:rsidR="0016576D">
              <w:rPr>
                <w:sz w:val="36"/>
              </w:rPr>
              <w:t xml:space="preserve"> </w:t>
            </w:r>
          </w:p>
        </w:tc>
      </w:tr>
      <w:tr w:rsidR="0016576D" w:rsidTr="0016576D">
        <w:trPr>
          <w:trHeight w:val="1175"/>
        </w:trPr>
        <w:tc>
          <w:tcPr>
            <w:tcW w:w="4396" w:type="dxa"/>
            <w:tcBorders>
              <w:top w:val="nil"/>
              <w:left w:val="nil"/>
              <w:bottom w:val="nil"/>
              <w:right w:val="nil"/>
            </w:tcBorders>
          </w:tcPr>
          <w:p w:rsidR="0016576D" w:rsidRDefault="0016576D" w:rsidP="0016576D">
            <w:pPr>
              <w:spacing w:after="0" w:line="259" w:lineRule="auto"/>
              <w:ind w:left="108" w:right="0" w:firstLine="0"/>
              <w:jc w:val="left"/>
            </w:pPr>
            <w:r>
              <w:rPr>
                <w:b/>
                <w:sz w:val="36"/>
              </w:rPr>
              <w:t xml:space="preserve">Status: </w:t>
            </w:r>
          </w:p>
          <w:p w:rsidR="0016576D" w:rsidRDefault="0016576D" w:rsidP="0016576D">
            <w:pPr>
              <w:spacing w:after="0" w:line="259" w:lineRule="auto"/>
              <w:ind w:left="0" w:right="0" w:firstLine="0"/>
              <w:jc w:val="left"/>
            </w:pPr>
            <w:r>
              <w:rPr>
                <w:b/>
                <w:color w:val="660066"/>
              </w:rPr>
              <w:t xml:space="preserve"> </w:t>
            </w:r>
          </w:p>
          <w:p w:rsidR="0016576D" w:rsidRDefault="0016576D" w:rsidP="0016576D">
            <w:pPr>
              <w:spacing w:after="0" w:line="259" w:lineRule="auto"/>
              <w:ind w:left="0" w:right="0" w:firstLine="0"/>
              <w:jc w:val="left"/>
            </w:pPr>
            <w:r>
              <w:rPr>
                <w:b/>
                <w:color w:val="660066"/>
              </w:rPr>
              <w:t xml:space="preserve"> </w:t>
            </w:r>
          </w:p>
          <w:p w:rsidR="0016576D" w:rsidRDefault="0016576D" w:rsidP="0016576D">
            <w:pPr>
              <w:spacing w:after="0" w:line="259" w:lineRule="auto"/>
              <w:ind w:left="0" w:right="0" w:firstLine="0"/>
              <w:jc w:val="left"/>
            </w:pPr>
            <w:r>
              <w:rPr>
                <w:b/>
                <w:color w:val="660066"/>
              </w:rPr>
              <w:t xml:space="preserve"> </w:t>
            </w:r>
          </w:p>
        </w:tc>
        <w:tc>
          <w:tcPr>
            <w:tcW w:w="3451" w:type="dxa"/>
            <w:tcBorders>
              <w:top w:val="nil"/>
              <w:left w:val="nil"/>
              <w:bottom w:val="nil"/>
              <w:right w:val="nil"/>
            </w:tcBorders>
          </w:tcPr>
          <w:p w:rsidR="0016576D" w:rsidRDefault="00B17D12" w:rsidP="0016576D">
            <w:pPr>
              <w:spacing w:after="0" w:line="259" w:lineRule="auto"/>
              <w:ind w:left="142" w:right="0" w:firstLine="0"/>
              <w:jc w:val="left"/>
            </w:pPr>
            <w:r>
              <w:rPr>
                <w:sz w:val="36"/>
              </w:rPr>
              <w:t>Non-</w:t>
            </w:r>
            <w:r w:rsidR="0016576D">
              <w:rPr>
                <w:sz w:val="36"/>
              </w:rPr>
              <w:t xml:space="preserve">Statutory </w:t>
            </w:r>
          </w:p>
        </w:tc>
      </w:tr>
      <w:tr w:rsidR="0016576D" w:rsidTr="0016576D">
        <w:trPr>
          <w:trHeight w:val="362"/>
        </w:trPr>
        <w:tc>
          <w:tcPr>
            <w:tcW w:w="4396" w:type="dxa"/>
            <w:tcBorders>
              <w:top w:val="nil"/>
              <w:left w:val="nil"/>
              <w:bottom w:val="nil"/>
              <w:right w:val="nil"/>
            </w:tcBorders>
          </w:tcPr>
          <w:p w:rsidR="0016576D" w:rsidRDefault="0016576D" w:rsidP="0016576D">
            <w:pPr>
              <w:spacing w:after="0" w:line="259" w:lineRule="auto"/>
              <w:ind w:left="0" w:right="0" w:firstLine="0"/>
              <w:jc w:val="left"/>
            </w:pPr>
          </w:p>
        </w:tc>
        <w:tc>
          <w:tcPr>
            <w:tcW w:w="3451" w:type="dxa"/>
            <w:tcBorders>
              <w:top w:val="nil"/>
              <w:left w:val="nil"/>
              <w:bottom w:val="nil"/>
              <w:right w:val="nil"/>
            </w:tcBorders>
          </w:tcPr>
          <w:p w:rsidR="0016576D" w:rsidRDefault="0016576D" w:rsidP="0016576D">
            <w:pPr>
              <w:spacing w:after="0" w:line="259" w:lineRule="auto"/>
              <w:ind w:left="0" w:right="0" w:firstLine="0"/>
            </w:pPr>
          </w:p>
        </w:tc>
      </w:tr>
      <w:tr w:rsidR="0016576D" w:rsidTr="0016576D">
        <w:trPr>
          <w:trHeight w:val="362"/>
        </w:trPr>
        <w:tc>
          <w:tcPr>
            <w:tcW w:w="4396" w:type="dxa"/>
            <w:tcBorders>
              <w:top w:val="nil"/>
              <w:left w:val="nil"/>
              <w:bottom w:val="nil"/>
              <w:right w:val="nil"/>
            </w:tcBorders>
          </w:tcPr>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p w:rsidR="0016576D" w:rsidRDefault="0016576D" w:rsidP="0016576D">
            <w:pPr>
              <w:spacing w:after="0" w:line="259" w:lineRule="auto"/>
              <w:ind w:left="0" w:right="0" w:firstLine="0"/>
              <w:jc w:val="left"/>
              <w:rPr>
                <w:b/>
                <w:sz w:val="32"/>
              </w:rPr>
            </w:pPr>
          </w:p>
        </w:tc>
        <w:tc>
          <w:tcPr>
            <w:tcW w:w="3451" w:type="dxa"/>
            <w:tcBorders>
              <w:top w:val="nil"/>
              <w:left w:val="nil"/>
              <w:bottom w:val="nil"/>
              <w:right w:val="nil"/>
            </w:tcBorders>
          </w:tcPr>
          <w:p w:rsidR="0016576D" w:rsidRDefault="0016576D" w:rsidP="0016576D">
            <w:pPr>
              <w:spacing w:after="0" w:line="259" w:lineRule="auto"/>
              <w:ind w:left="0" w:right="0" w:firstLine="0"/>
              <w:rPr>
                <w:sz w:val="32"/>
              </w:rPr>
            </w:pPr>
          </w:p>
        </w:tc>
      </w:tr>
    </w:tbl>
    <w:p w:rsidR="00F75321" w:rsidRDefault="004C007A">
      <w:pPr>
        <w:spacing w:after="0" w:line="259" w:lineRule="auto"/>
        <w:ind w:left="0" w:right="0" w:firstLine="0"/>
        <w:jc w:val="left"/>
      </w:pPr>
      <w:r>
        <w:t xml:space="preserve"> </w:t>
      </w:r>
      <w:r>
        <w:tab/>
        <w:t xml:space="preserve"> </w:t>
      </w:r>
      <w:bookmarkStart w:id="0" w:name="_GoBack"/>
      <w:bookmarkEnd w:id="0"/>
    </w:p>
    <w:p w:rsidR="00F75321" w:rsidRDefault="004C007A">
      <w:pPr>
        <w:pStyle w:val="Heading1"/>
        <w:ind w:left="345" w:hanging="360"/>
      </w:pPr>
      <w:r>
        <w:lastRenderedPageBreak/>
        <w:t>Purpose of policy and guiding principles</w:t>
      </w:r>
      <w:r>
        <w:rPr>
          <w:color w:val="660066"/>
        </w:rPr>
        <w:t xml:space="preserve"> </w:t>
      </w:r>
    </w:p>
    <w:p w:rsidR="00F75321" w:rsidRDefault="004C007A">
      <w:pPr>
        <w:spacing w:after="0" w:line="259" w:lineRule="auto"/>
        <w:ind w:left="0" w:right="0" w:firstLine="0"/>
        <w:jc w:val="left"/>
      </w:pPr>
      <w:r>
        <w:rPr>
          <w:b/>
          <w:color w:val="660066"/>
        </w:rPr>
        <w:t xml:space="preserve"> </w:t>
      </w:r>
    </w:p>
    <w:p w:rsidR="00F75321" w:rsidRDefault="004C007A">
      <w:pPr>
        <w:ind w:left="360" w:right="0" w:hanging="360"/>
      </w:pPr>
      <w:r>
        <w:t xml:space="preserve">1.1 Careers education, information and guidance (CEIAG) programmes make a significant contribution to preparing young people for the opportunities, responsibilities and experiences of adult life. </w:t>
      </w:r>
      <w:r>
        <w:rPr>
          <w:b/>
          <w:color w:val="660066"/>
        </w:rPr>
        <w:t xml:space="preserve"> </w:t>
      </w:r>
    </w:p>
    <w:p w:rsidR="00F75321" w:rsidRDefault="004C007A">
      <w:pPr>
        <w:ind w:left="360" w:right="0" w:hanging="360"/>
      </w:pPr>
      <w:r>
        <w:t>1.2 The CEIAG programme is designed to be progressive from Year 7 to Year 1</w:t>
      </w:r>
      <w:r w:rsidR="009916A5">
        <w:t>1</w:t>
      </w:r>
      <w:r>
        <w:t xml:space="preserve"> and support students in making informed</w:t>
      </w:r>
      <w:r w:rsidR="001B5885">
        <w:t xml:space="preserve"> choices in years 9</w:t>
      </w:r>
      <w:r w:rsidR="009916A5">
        <w:t>, 11 and Post-16.</w:t>
      </w:r>
    </w:p>
    <w:p w:rsidR="00F75321" w:rsidRDefault="004C007A">
      <w:pPr>
        <w:ind w:left="360" w:right="0" w:hanging="360"/>
      </w:pPr>
      <w:r>
        <w:t xml:space="preserve">1.3 At </w:t>
      </w:r>
      <w:r w:rsidRPr="00D94F78">
        <w:t xml:space="preserve">Trinity Academy </w:t>
      </w:r>
      <w:r w:rsidR="009916A5" w:rsidRPr="00D94F78">
        <w:t>Sowerby</w:t>
      </w:r>
      <w:r w:rsidR="009916A5">
        <w:t xml:space="preserve"> Bridge</w:t>
      </w:r>
      <w:r>
        <w:t xml:space="preserve"> we aim to raise aspirations, challenge stereotypes and encourage students to consider a wide range of careers. Through careers education and guidance it is hoped that students will be encouraged to make the most of their talents and to go on to jobs or courses which suit their needs and intelligence. </w:t>
      </w:r>
      <w:r>
        <w:rPr>
          <w:b/>
          <w:color w:val="660066"/>
        </w:rPr>
        <w:t xml:space="preserve"> </w:t>
      </w:r>
    </w:p>
    <w:p w:rsidR="00F75321" w:rsidRDefault="004C007A">
      <w:pPr>
        <w:ind w:right="0"/>
      </w:pPr>
      <w:r>
        <w:t>1.4 In particular we intend our students to:</w:t>
      </w:r>
      <w:r>
        <w:rPr>
          <w:b/>
          <w:color w:val="660066"/>
        </w:rPr>
        <w:t xml:space="preserve"> </w:t>
      </w:r>
    </w:p>
    <w:p w:rsidR="00F75321" w:rsidRDefault="004C007A">
      <w:pPr>
        <w:numPr>
          <w:ilvl w:val="0"/>
          <w:numId w:val="1"/>
        </w:numPr>
        <w:ind w:right="0" w:hanging="360"/>
      </w:pPr>
      <w:r>
        <w:t xml:space="preserve">Develop a broad understanding of the world of work and an ability to respond to changing opportunities. </w:t>
      </w:r>
      <w:r>
        <w:rPr>
          <w:b/>
        </w:rPr>
        <w:t xml:space="preserve"> </w:t>
      </w:r>
    </w:p>
    <w:p w:rsidR="00F75321" w:rsidRDefault="004C007A">
      <w:pPr>
        <w:numPr>
          <w:ilvl w:val="0"/>
          <w:numId w:val="1"/>
        </w:numPr>
        <w:ind w:right="0" w:hanging="360"/>
      </w:pPr>
      <w:r>
        <w:t>Develop independent research skills so that they can make good use of information and guidance.</w:t>
      </w:r>
      <w:r>
        <w:rPr>
          <w:b/>
        </w:rPr>
        <w:t xml:space="preserve"> </w:t>
      </w:r>
    </w:p>
    <w:p w:rsidR="00F75321" w:rsidRDefault="004C007A">
      <w:pPr>
        <w:numPr>
          <w:ilvl w:val="0"/>
          <w:numId w:val="1"/>
        </w:numPr>
        <w:ind w:right="0" w:hanging="360"/>
      </w:pPr>
      <w:r>
        <w:t xml:space="preserve">Develop the skills they need to review achievements, plan future actions, make decisions, present themselves well and cope with change and transition. </w:t>
      </w:r>
      <w:r>
        <w:rPr>
          <w:b/>
        </w:rPr>
        <w:t xml:space="preserve"> </w:t>
      </w:r>
    </w:p>
    <w:p w:rsidR="00F75321" w:rsidRDefault="004C007A">
      <w:pPr>
        <w:ind w:left="358" w:right="0"/>
      </w:pPr>
      <w:r>
        <w:t xml:space="preserve">We recognise that the process of making career decisions is a lengthy one and that most of our students will make their final choices only after completing their higher education course.  </w:t>
      </w:r>
    </w:p>
    <w:p w:rsidR="00F75321" w:rsidRDefault="004C007A">
      <w:pPr>
        <w:spacing w:after="0" w:line="259" w:lineRule="auto"/>
        <w:ind w:left="0" w:right="0" w:firstLine="0"/>
        <w:jc w:val="left"/>
      </w:pPr>
      <w:r>
        <w:rPr>
          <w:b/>
        </w:rPr>
        <w:t xml:space="preserve"> </w:t>
      </w:r>
    </w:p>
    <w:p w:rsidR="00F75321" w:rsidRDefault="004C007A">
      <w:pPr>
        <w:pStyle w:val="Heading1"/>
        <w:ind w:left="345" w:hanging="360"/>
      </w:pPr>
      <w:r>
        <w:t xml:space="preserve">Commitments  </w:t>
      </w:r>
    </w:p>
    <w:p w:rsidR="00F75321" w:rsidRDefault="004C007A">
      <w:pPr>
        <w:spacing w:after="2" w:line="259" w:lineRule="auto"/>
        <w:ind w:left="0" w:right="0" w:firstLine="0"/>
        <w:jc w:val="left"/>
      </w:pPr>
      <w:r>
        <w:rPr>
          <w:b/>
        </w:rPr>
        <w:t xml:space="preserve"> </w:t>
      </w:r>
    </w:p>
    <w:p w:rsidR="00F75321" w:rsidRDefault="0035686E">
      <w:pPr>
        <w:ind w:right="0"/>
      </w:pPr>
      <w:r>
        <w:t>2.1 Directors, Governors</w:t>
      </w:r>
      <w:r w:rsidR="004C007A">
        <w:t xml:space="preserve"> and staff are committed to:</w:t>
      </w:r>
      <w:r w:rsidR="004C007A">
        <w:rPr>
          <w:b/>
        </w:rPr>
        <w:t xml:space="preserve"> </w:t>
      </w:r>
    </w:p>
    <w:p w:rsidR="00F75321" w:rsidRDefault="004C007A">
      <w:pPr>
        <w:numPr>
          <w:ilvl w:val="0"/>
          <w:numId w:val="2"/>
        </w:numPr>
        <w:ind w:right="0" w:hanging="360"/>
      </w:pPr>
      <w:r>
        <w:t xml:space="preserve">The provision of resources and advice to enable students to understand and develop career choices and to ensure that careers education is seen as part of the overall curriculum and learning framework for all years.  </w:t>
      </w:r>
    </w:p>
    <w:p w:rsidR="00F75321" w:rsidRDefault="004C007A">
      <w:pPr>
        <w:numPr>
          <w:ilvl w:val="0"/>
          <w:numId w:val="2"/>
        </w:numPr>
        <w:ind w:right="0" w:hanging="360"/>
      </w:pPr>
      <w:r>
        <w:t xml:space="preserve">Encouraging students to achieve and to be ambitious.  </w:t>
      </w:r>
    </w:p>
    <w:p w:rsidR="00F75321" w:rsidRDefault="004C007A">
      <w:pPr>
        <w:numPr>
          <w:ilvl w:val="0"/>
          <w:numId w:val="2"/>
        </w:numPr>
        <w:ind w:right="0" w:hanging="360"/>
      </w:pPr>
      <w:r>
        <w:t xml:space="preserve">Involving students, parents and carers in the further development of careers work.  </w:t>
      </w:r>
    </w:p>
    <w:p w:rsidR="00F75321" w:rsidRDefault="004C007A">
      <w:pPr>
        <w:numPr>
          <w:ilvl w:val="0"/>
          <w:numId w:val="2"/>
        </w:numPr>
        <w:ind w:right="0" w:hanging="360"/>
      </w:pPr>
      <w:r>
        <w:t>Working with support agencies so that no student is disadvantaged in</w:t>
      </w:r>
      <w:r w:rsidR="0016576D">
        <w:t xml:space="preserve"> gaining access to education, </w:t>
      </w:r>
      <w:r>
        <w:t xml:space="preserve">training or work.  </w:t>
      </w:r>
    </w:p>
    <w:p w:rsidR="00F75321" w:rsidRDefault="004C007A">
      <w:pPr>
        <w:numPr>
          <w:ilvl w:val="0"/>
          <w:numId w:val="2"/>
        </w:numPr>
        <w:ind w:right="0" w:hanging="360"/>
      </w:pPr>
      <w:r>
        <w:t xml:space="preserve">Achieving and retaining the Quality Standards in careers Education award.  </w:t>
      </w:r>
    </w:p>
    <w:p w:rsidR="00F75321" w:rsidRDefault="004C007A">
      <w:pPr>
        <w:numPr>
          <w:ilvl w:val="0"/>
          <w:numId w:val="2"/>
        </w:numPr>
        <w:ind w:right="0" w:hanging="360"/>
      </w:pPr>
      <w:r>
        <w:t xml:space="preserve">Meeting all eight of the Gatsby Benchmarks. </w:t>
      </w:r>
    </w:p>
    <w:p w:rsidR="00F75321" w:rsidRDefault="004C007A">
      <w:pPr>
        <w:spacing w:after="0" w:line="259" w:lineRule="auto"/>
        <w:ind w:left="0" w:right="0" w:firstLine="0"/>
        <w:jc w:val="left"/>
      </w:pPr>
      <w:r>
        <w:rPr>
          <w:b/>
        </w:rPr>
        <w:t xml:space="preserve"> </w:t>
      </w:r>
    </w:p>
    <w:p w:rsidR="00F75321" w:rsidRPr="0035686E" w:rsidRDefault="004C007A">
      <w:pPr>
        <w:pStyle w:val="Heading1"/>
        <w:ind w:left="345" w:hanging="360"/>
        <w:rPr>
          <w:highlight w:val="yellow"/>
        </w:rPr>
      </w:pPr>
      <w:r w:rsidRPr="00D94F78">
        <w:t xml:space="preserve">Provision </w:t>
      </w:r>
      <w:r w:rsidRPr="0035686E">
        <w:rPr>
          <w:highlight w:val="yellow"/>
        </w:rPr>
        <w:t xml:space="preserve"> </w:t>
      </w:r>
    </w:p>
    <w:p w:rsidR="00F75321" w:rsidRDefault="004C007A">
      <w:pPr>
        <w:spacing w:after="2" w:line="259" w:lineRule="auto"/>
        <w:ind w:left="360" w:right="0" w:firstLine="0"/>
        <w:jc w:val="left"/>
      </w:pPr>
      <w:r>
        <w:rPr>
          <w:b/>
        </w:rPr>
        <w:t xml:space="preserve"> </w:t>
      </w:r>
    </w:p>
    <w:p w:rsidR="00F75321" w:rsidRDefault="004C007A">
      <w:pPr>
        <w:ind w:left="360" w:right="0" w:hanging="360"/>
      </w:pPr>
      <w:r>
        <w:t xml:space="preserve">3.1 Careers includes education, information and guidance. Careers education helps our students develop the knowledge and skills they need to make successful choices, manage transitions in learning and move into work. Through guidance students are able to use their knowledge and skills to make the decisions about learning and work that are right for them. Careers education forms an integral part of the curriculum in the </w:t>
      </w:r>
      <w:r w:rsidR="001B5885">
        <w:t>Weekly Wellbeing</w:t>
      </w:r>
      <w:r>
        <w:t xml:space="preserve"> programme an</w:t>
      </w:r>
      <w:r w:rsidR="001B5885">
        <w:t>d is achieved via lessons, assemblies, form time</w:t>
      </w:r>
      <w:r>
        <w:t xml:space="preserve"> sessions and individual, targeted opportunities, for example visits to universities or work places and talks with employers.</w:t>
      </w:r>
      <w:r>
        <w:rPr>
          <w:b/>
        </w:rPr>
        <w:t xml:space="preserve"> </w:t>
      </w:r>
    </w:p>
    <w:p w:rsidR="009916A5" w:rsidRDefault="004C007A">
      <w:pPr>
        <w:ind w:left="360" w:right="0" w:hanging="360"/>
      </w:pPr>
      <w:r>
        <w:t>3.2 Careers guidance is supported by the</w:t>
      </w:r>
      <w:r w:rsidR="001B5885">
        <w:t xml:space="preserve"> work form tutors do in form</w:t>
      </w:r>
      <w:r>
        <w:t xml:space="preserve"> time. All staff are involved in guidance e.g. support during</w:t>
      </w:r>
      <w:r w:rsidR="001B5885">
        <w:t xml:space="preserve"> selection of Key Stage 4</w:t>
      </w:r>
      <w:r w:rsidR="009916A5">
        <w:t xml:space="preserve"> options.</w:t>
      </w:r>
    </w:p>
    <w:p w:rsidR="00F75321" w:rsidRDefault="004C007A">
      <w:pPr>
        <w:ind w:left="360" w:right="0" w:hanging="360"/>
      </w:pPr>
      <w:r>
        <w:t>3.3 We are also well supported by our qualified and impartial careers advisers.  Careers guidance interviews takes place on a group basis</w:t>
      </w:r>
      <w:r w:rsidR="006C339D">
        <w:t xml:space="preserve"> at Key Stage 3</w:t>
      </w:r>
      <w:r>
        <w:t xml:space="preserve">, and one to one basis </w:t>
      </w:r>
      <w:r w:rsidR="006C339D">
        <w:t>at Key Stage 4</w:t>
      </w:r>
      <w:r>
        <w:t xml:space="preserve"> and those who request a careers appointment. </w:t>
      </w:r>
      <w:r>
        <w:rPr>
          <w:b/>
        </w:rPr>
        <w:t xml:space="preserve"> </w:t>
      </w:r>
    </w:p>
    <w:p w:rsidR="00F75321" w:rsidRDefault="004C007A">
      <w:pPr>
        <w:ind w:left="360" w:right="0" w:hanging="360"/>
      </w:pPr>
      <w:r>
        <w:t xml:space="preserve">3.4 Careers information and resources are available in </w:t>
      </w:r>
      <w:r w:rsidRPr="00D94F78">
        <w:t xml:space="preserve">school for students to access. Our CEIAG programme aims to guarantee all students who leave Trinity Academy </w:t>
      </w:r>
      <w:r w:rsidR="009916A5">
        <w:t>Sowerby Bridge</w:t>
      </w:r>
      <w:r>
        <w:t xml:space="preserve"> at the end of Year 11 have an </w:t>
      </w:r>
      <w:r w:rsidR="006C339D">
        <w:t xml:space="preserve">appropriate </w:t>
      </w:r>
      <w:r>
        <w:t>offer of a place to move onto.</w:t>
      </w:r>
      <w:r>
        <w:rPr>
          <w:b/>
        </w:rPr>
        <w:t xml:space="preserve"> </w:t>
      </w:r>
    </w:p>
    <w:p w:rsidR="00F75321" w:rsidRDefault="004C007A">
      <w:pPr>
        <w:spacing w:after="0" w:line="259" w:lineRule="auto"/>
        <w:ind w:left="0" w:right="0" w:firstLine="0"/>
        <w:jc w:val="left"/>
      </w:pPr>
      <w:r>
        <w:rPr>
          <w:b/>
        </w:rPr>
        <w:t xml:space="preserve"> </w:t>
      </w:r>
    </w:p>
    <w:p w:rsidR="00F75321" w:rsidRDefault="004C007A">
      <w:pPr>
        <w:spacing w:after="0" w:line="259" w:lineRule="auto"/>
        <w:ind w:left="0" w:right="9584" w:firstLine="0"/>
        <w:jc w:val="left"/>
      </w:pPr>
      <w:r>
        <w:rPr>
          <w:b/>
        </w:rPr>
        <w:t xml:space="preserve">  </w:t>
      </w:r>
    </w:p>
    <w:p w:rsidR="00F75321" w:rsidRDefault="004C007A">
      <w:pPr>
        <w:spacing w:after="0" w:line="259" w:lineRule="auto"/>
        <w:ind w:left="0" w:right="0" w:firstLine="0"/>
        <w:jc w:val="left"/>
      </w:pPr>
      <w:r>
        <w:rPr>
          <w:b/>
        </w:rPr>
        <w:t xml:space="preserve"> </w:t>
      </w:r>
    </w:p>
    <w:p w:rsidR="00F75321" w:rsidRDefault="004C007A">
      <w:pPr>
        <w:spacing w:after="2" w:line="259" w:lineRule="auto"/>
        <w:ind w:left="0" w:right="0" w:firstLine="0"/>
        <w:jc w:val="left"/>
      </w:pPr>
      <w:r>
        <w:rPr>
          <w:b/>
        </w:rPr>
        <w:lastRenderedPageBreak/>
        <w:t xml:space="preserve"> </w:t>
      </w:r>
    </w:p>
    <w:p w:rsidR="00F75321" w:rsidRDefault="004C007A">
      <w:pPr>
        <w:spacing w:after="0" w:line="259" w:lineRule="auto"/>
        <w:ind w:left="363" w:right="0" w:firstLine="0"/>
        <w:jc w:val="left"/>
      </w:pPr>
      <w:r>
        <w:t xml:space="preserve"> </w:t>
      </w:r>
    </w:p>
    <w:p w:rsidR="00F75321" w:rsidRDefault="006C339D">
      <w:pPr>
        <w:spacing w:after="1" w:line="259" w:lineRule="auto"/>
        <w:ind w:left="373" w:right="0"/>
        <w:jc w:val="left"/>
      </w:pPr>
      <w:r w:rsidRPr="00D94F78">
        <w:rPr>
          <w:b/>
        </w:rPr>
        <w:t>By the end of Key Stage 3</w:t>
      </w:r>
      <w:r w:rsidR="004C007A" w:rsidRPr="00D94F78">
        <w:rPr>
          <w:b/>
        </w:rPr>
        <w:t xml:space="preserve"> Students will have</w:t>
      </w:r>
      <w:r w:rsidRPr="00D94F78">
        <w:rPr>
          <w:b/>
        </w:rPr>
        <w:t xml:space="preserve"> experienced</w:t>
      </w:r>
      <w:r w:rsidR="004C007A" w:rsidRPr="00D94F78">
        <w:rPr>
          <w:b/>
        </w:rPr>
        <w:t>:</w:t>
      </w:r>
      <w:r w:rsidR="004C007A">
        <w:rPr>
          <w:b/>
        </w:rPr>
        <w:t xml:space="preserve"> </w:t>
      </w:r>
    </w:p>
    <w:p w:rsidR="006C339D" w:rsidRPr="00F62918"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sidRPr="00F62918">
        <w:rPr>
          <w:rFonts w:ascii="Arial" w:eastAsia="Times New Roman" w:hAnsi="Arial" w:cs="Arial"/>
          <w:color w:val="404040"/>
          <w:sz w:val="24"/>
          <w:szCs w:val="24"/>
          <w:lang w:eastAsia="en-GB"/>
        </w:rPr>
        <w:t>A visit to a university campus as part of our transition arrangements</w:t>
      </w:r>
    </w:p>
    <w:p w:rsidR="006C339D" w:rsidRPr="00F62918"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sidRPr="00F62918">
        <w:rPr>
          <w:rFonts w:ascii="Arial" w:eastAsia="Times New Roman" w:hAnsi="Arial" w:cs="Arial"/>
          <w:color w:val="404040"/>
          <w:sz w:val="24"/>
          <w:szCs w:val="24"/>
          <w:lang w:eastAsia="en-GB"/>
        </w:rPr>
        <w:t>Assembly on local labour market information</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sidRPr="00F62918">
        <w:rPr>
          <w:rFonts w:ascii="Arial" w:eastAsia="Times New Roman" w:hAnsi="Arial" w:cs="Arial"/>
          <w:color w:val="404040"/>
          <w:sz w:val="24"/>
          <w:szCs w:val="24"/>
          <w:lang w:eastAsia="en-GB"/>
        </w:rPr>
        <w:t>Weekly Wellbeing assembly led by a local MP or councillor</w:t>
      </w:r>
    </w:p>
    <w:p w:rsidR="006C339D" w:rsidRPr="00F62918"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Weekly Wellbeing lessons on CV writing</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sidRPr="00F62918">
        <w:rPr>
          <w:rFonts w:ascii="Arial" w:eastAsia="Times New Roman" w:hAnsi="Arial" w:cs="Arial"/>
          <w:color w:val="404040"/>
          <w:sz w:val="24"/>
          <w:szCs w:val="24"/>
          <w:lang w:eastAsia="en-GB"/>
        </w:rPr>
        <w:t>End of year trip to include experience of a variety of workplaces and interactions with people from the world of work, including experience of the tourism industry</w:t>
      </w:r>
    </w:p>
    <w:p w:rsidR="006C339D" w:rsidRPr="00F62918"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1:1 interviews with SLT for students in Year 9 as part of our options process</w:t>
      </w:r>
    </w:p>
    <w:p w:rsidR="006C339D" w:rsidRPr="00F62918"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sidRPr="00F62918">
        <w:rPr>
          <w:rFonts w:ascii="Arial" w:eastAsia="Times New Roman" w:hAnsi="Arial" w:cs="Arial"/>
          <w:color w:val="404040"/>
          <w:sz w:val="24"/>
          <w:szCs w:val="24"/>
          <w:lang w:eastAsia="en-GB"/>
        </w:rPr>
        <w:t xml:space="preserve">6 Careers Weeks throughout </w:t>
      </w:r>
      <w:r>
        <w:rPr>
          <w:rFonts w:ascii="Arial" w:eastAsia="Times New Roman" w:hAnsi="Arial" w:cs="Arial"/>
          <w:color w:val="404040"/>
          <w:sz w:val="24"/>
          <w:szCs w:val="24"/>
          <w:lang w:eastAsia="en-GB"/>
        </w:rPr>
        <w:t>the</w:t>
      </w:r>
      <w:r w:rsidRPr="00F62918">
        <w:rPr>
          <w:rFonts w:ascii="Arial" w:eastAsia="Times New Roman" w:hAnsi="Arial" w:cs="Arial"/>
          <w:color w:val="404040"/>
          <w:sz w:val="24"/>
          <w:szCs w:val="24"/>
          <w:lang w:eastAsia="en-GB"/>
        </w:rPr>
        <w:t xml:space="preserve"> year, with every lesson linked to a relevant career, including guest speakers where appropriate.</w:t>
      </w:r>
    </w:p>
    <w:p w:rsidR="00F75321" w:rsidRDefault="004C007A">
      <w:pPr>
        <w:spacing w:after="0" w:line="259" w:lineRule="auto"/>
        <w:ind w:left="0" w:right="0" w:firstLine="0"/>
        <w:jc w:val="left"/>
        <w:rPr>
          <w:b/>
        </w:rPr>
      </w:pPr>
      <w:r>
        <w:rPr>
          <w:b/>
        </w:rPr>
        <w:t xml:space="preserve"> </w:t>
      </w:r>
    </w:p>
    <w:p w:rsidR="00F75321" w:rsidRDefault="00F75321">
      <w:pPr>
        <w:spacing w:after="0" w:line="259" w:lineRule="auto"/>
        <w:ind w:left="0" w:right="0" w:firstLine="0"/>
        <w:jc w:val="left"/>
      </w:pPr>
    </w:p>
    <w:p w:rsidR="00F75321" w:rsidRDefault="006C339D">
      <w:pPr>
        <w:spacing w:after="1" w:line="259" w:lineRule="auto"/>
        <w:ind w:left="373" w:right="0"/>
        <w:jc w:val="left"/>
      </w:pPr>
      <w:r w:rsidRPr="00D94F78">
        <w:rPr>
          <w:b/>
        </w:rPr>
        <w:t>By the end of Key Stage 4</w:t>
      </w:r>
      <w:r w:rsidR="004C007A" w:rsidRPr="00D94F78">
        <w:rPr>
          <w:b/>
        </w:rPr>
        <w:t xml:space="preserve"> Students will have</w:t>
      </w:r>
      <w:r w:rsidRPr="00D94F78">
        <w:rPr>
          <w:b/>
        </w:rPr>
        <w:t xml:space="preserve"> experienced</w:t>
      </w:r>
      <w:r w:rsidR="004C007A" w:rsidRPr="00D94F78">
        <w:rPr>
          <w:b/>
        </w:rPr>
        <w:t>:</w:t>
      </w:r>
      <w:r w:rsidR="004C007A">
        <w:rPr>
          <w:b/>
        </w:rPr>
        <w:t xml:space="preserve"> </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Workplace visits linked to options subjects – bringing them options subjects to life with local employers</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Assembly on local labour market information</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Weekly Wellbeing assembly led by someone in the financial industry</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Year 10 have group appointments with C&amp;K Careers</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 xml:space="preserve">Assemblies led by local Post-17 providers </w:t>
      </w:r>
    </w:p>
    <w:p w:rsidR="006C339D"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Pr>
          <w:rFonts w:ascii="Arial" w:eastAsia="Times New Roman" w:hAnsi="Arial" w:cs="Arial"/>
          <w:color w:val="404040"/>
          <w:sz w:val="24"/>
          <w:szCs w:val="24"/>
          <w:lang w:eastAsia="en-GB"/>
        </w:rPr>
        <w:t>Year 11 have at least one 1:1 careers interview with a level 6 trained careers advisor from C&amp;K Careers</w:t>
      </w:r>
    </w:p>
    <w:p w:rsidR="006C339D" w:rsidRPr="00F62918" w:rsidRDefault="006C339D" w:rsidP="006C339D">
      <w:pPr>
        <w:pStyle w:val="ListParagraph"/>
        <w:numPr>
          <w:ilvl w:val="0"/>
          <w:numId w:val="5"/>
        </w:numPr>
        <w:shd w:val="clear" w:color="auto" w:fill="FFFFFF"/>
        <w:spacing w:after="161" w:line="240" w:lineRule="auto"/>
        <w:outlineLvl w:val="0"/>
        <w:rPr>
          <w:rFonts w:ascii="Arial" w:eastAsia="Times New Roman" w:hAnsi="Arial" w:cs="Arial"/>
          <w:color w:val="404040"/>
          <w:sz w:val="24"/>
          <w:szCs w:val="24"/>
          <w:lang w:eastAsia="en-GB"/>
        </w:rPr>
      </w:pPr>
      <w:r w:rsidRPr="00F62918">
        <w:rPr>
          <w:rFonts w:ascii="Arial" w:eastAsia="Times New Roman" w:hAnsi="Arial" w:cs="Arial"/>
          <w:color w:val="404040"/>
          <w:sz w:val="24"/>
          <w:szCs w:val="24"/>
          <w:lang w:eastAsia="en-GB"/>
        </w:rPr>
        <w:t xml:space="preserve">6 Careers Weeks throughout </w:t>
      </w:r>
      <w:r>
        <w:rPr>
          <w:rFonts w:ascii="Arial" w:eastAsia="Times New Roman" w:hAnsi="Arial" w:cs="Arial"/>
          <w:color w:val="404040"/>
          <w:sz w:val="24"/>
          <w:szCs w:val="24"/>
          <w:lang w:eastAsia="en-GB"/>
        </w:rPr>
        <w:t>the</w:t>
      </w:r>
      <w:r w:rsidRPr="00F62918">
        <w:rPr>
          <w:rFonts w:ascii="Arial" w:eastAsia="Times New Roman" w:hAnsi="Arial" w:cs="Arial"/>
          <w:color w:val="404040"/>
          <w:sz w:val="24"/>
          <w:szCs w:val="24"/>
          <w:lang w:eastAsia="en-GB"/>
        </w:rPr>
        <w:t xml:space="preserve"> year, with every lesson linked to a relevant career, including guest speakers where appropriate.</w:t>
      </w:r>
    </w:p>
    <w:p w:rsidR="00F75321" w:rsidRDefault="004C007A">
      <w:pPr>
        <w:spacing w:after="0" w:line="259" w:lineRule="auto"/>
        <w:ind w:left="720" w:right="0" w:firstLine="0"/>
        <w:jc w:val="left"/>
      </w:pPr>
      <w:r>
        <w:t xml:space="preserve"> </w:t>
      </w:r>
    </w:p>
    <w:p w:rsidR="00F75321" w:rsidRDefault="004C007A">
      <w:pPr>
        <w:pStyle w:val="Heading1"/>
        <w:ind w:left="345" w:hanging="360"/>
      </w:pPr>
      <w:r>
        <w:t xml:space="preserve">Equal opportunities </w:t>
      </w:r>
    </w:p>
    <w:p w:rsidR="00F75321" w:rsidRDefault="004C007A">
      <w:pPr>
        <w:spacing w:after="0" w:line="259" w:lineRule="auto"/>
        <w:ind w:left="0" w:right="0" w:firstLine="0"/>
        <w:jc w:val="left"/>
      </w:pPr>
      <w:r>
        <w:t xml:space="preserve"> </w:t>
      </w:r>
    </w:p>
    <w:p w:rsidR="00F75321" w:rsidRDefault="004C007A">
      <w:pPr>
        <w:ind w:left="358" w:right="0"/>
      </w:pPr>
      <w:r w:rsidRPr="00D94F78">
        <w:t xml:space="preserve">Trinity Academy </w:t>
      </w:r>
      <w:r w:rsidR="009916A5" w:rsidRPr="00D94F78">
        <w:t>Sowerby</w:t>
      </w:r>
      <w:r w:rsidR="009916A5">
        <w:t xml:space="preserve"> Bridge</w:t>
      </w:r>
      <w:r>
        <w:t xml:space="preserve"> is keen to promote equal opportunities and try to use every opportunity to challenge stereotypes and to raise aspirations. Careers education is provided to all students and provision is made to allow all students to access the curriculum. Students are encouraged to follow career paths that suit their interests, skills and strengths with the absence of stereotypes. All students are provided with the same opportunities and diversity is celebrated. Students with Special Educational Needs are offered additional careers advice. The destinations of our leavers are closely monitored and younger students informed so that we are aware of trends and opportunities.  </w:t>
      </w:r>
    </w:p>
    <w:p w:rsidR="00F75321" w:rsidRDefault="004C007A">
      <w:pPr>
        <w:spacing w:after="0" w:line="259" w:lineRule="auto"/>
        <w:ind w:left="0" w:right="0" w:firstLine="0"/>
        <w:jc w:val="left"/>
      </w:pPr>
      <w:r>
        <w:rPr>
          <w:b/>
        </w:rPr>
        <w:t xml:space="preserve"> </w:t>
      </w:r>
    </w:p>
    <w:p w:rsidR="00F75321" w:rsidRDefault="004C007A">
      <w:pPr>
        <w:spacing w:after="0" w:line="259" w:lineRule="auto"/>
        <w:ind w:left="0" w:right="0" w:firstLine="0"/>
        <w:jc w:val="left"/>
      </w:pPr>
      <w:r>
        <w:rPr>
          <w:b/>
        </w:rPr>
        <w:t xml:space="preserve"> </w:t>
      </w:r>
    </w:p>
    <w:p w:rsidR="00F75321" w:rsidRDefault="004C007A">
      <w:pPr>
        <w:pStyle w:val="Heading1"/>
        <w:ind w:left="345" w:hanging="360"/>
      </w:pPr>
      <w:r>
        <w:t xml:space="preserve">Relationship to other parts of the curriculum and other policies </w:t>
      </w:r>
    </w:p>
    <w:p w:rsidR="00F75321" w:rsidRDefault="004C007A">
      <w:pPr>
        <w:spacing w:after="17" w:line="259" w:lineRule="auto"/>
        <w:ind w:left="360" w:right="0" w:firstLine="0"/>
        <w:jc w:val="left"/>
      </w:pPr>
      <w:r>
        <w:rPr>
          <w:b/>
        </w:rPr>
        <w:t xml:space="preserve"> </w:t>
      </w:r>
    </w:p>
    <w:p w:rsidR="00F75321" w:rsidRDefault="004C007A">
      <w:pPr>
        <w:ind w:left="358" w:right="0"/>
      </w:pPr>
      <w:r>
        <w:t xml:space="preserve">Careers education is conducted in accordance with the school’s equality policy and other relevant policies. The whole school remit of careers is recognised and the curriculum is developed alongside that of other areas so that careers education is an integral part of the whole school curriculum.  </w:t>
      </w:r>
    </w:p>
    <w:p w:rsidR="00F75321" w:rsidRDefault="004C007A">
      <w:pPr>
        <w:spacing w:after="0" w:line="259" w:lineRule="auto"/>
        <w:ind w:left="363" w:right="0" w:firstLine="0"/>
        <w:jc w:val="left"/>
      </w:pPr>
      <w:r>
        <w:t xml:space="preserve"> </w:t>
      </w:r>
    </w:p>
    <w:p w:rsidR="00F75321" w:rsidRDefault="004C007A">
      <w:pPr>
        <w:pStyle w:val="Heading1"/>
        <w:ind w:left="345" w:hanging="360"/>
      </w:pPr>
      <w:r>
        <w:t xml:space="preserve">Parents and Carers </w:t>
      </w:r>
    </w:p>
    <w:p w:rsidR="00F75321" w:rsidRDefault="004C007A">
      <w:pPr>
        <w:spacing w:after="0" w:line="259" w:lineRule="auto"/>
        <w:ind w:left="0" w:right="0" w:firstLine="0"/>
        <w:jc w:val="left"/>
      </w:pPr>
      <w:r>
        <w:t xml:space="preserve"> </w:t>
      </w:r>
    </w:p>
    <w:p w:rsidR="00F75321" w:rsidRDefault="004C007A">
      <w:pPr>
        <w:ind w:left="358" w:right="0"/>
      </w:pPr>
      <w:r>
        <w:t xml:space="preserve">Parental involvement is encouraged at all stages. Online resources have been specifically chosen to help parents become more involved in the options process. All online resources are accessed through links on the school website.  </w:t>
      </w:r>
    </w:p>
    <w:p w:rsidR="00F75321" w:rsidRDefault="004C007A">
      <w:pPr>
        <w:spacing w:after="0" w:line="259" w:lineRule="auto"/>
        <w:ind w:left="0" w:right="0" w:firstLine="0"/>
        <w:jc w:val="left"/>
      </w:pPr>
      <w:r>
        <w:t xml:space="preserve"> </w:t>
      </w:r>
    </w:p>
    <w:p w:rsidR="00F75321" w:rsidRDefault="004C007A">
      <w:pPr>
        <w:pStyle w:val="Heading1"/>
        <w:ind w:left="345" w:hanging="360"/>
      </w:pPr>
      <w:r>
        <w:lastRenderedPageBreak/>
        <w:t xml:space="preserve">Management  </w:t>
      </w:r>
    </w:p>
    <w:p w:rsidR="00F75321" w:rsidRDefault="004C007A">
      <w:pPr>
        <w:spacing w:after="0" w:line="259" w:lineRule="auto"/>
        <w:ind w:left="0" w:right="0" w:firstLine="0"/>
        <w:jc w:val="left"/>
      </w:pPr>
      <w:r>
        <w:t xml:space="preserve"> </w:t>
      </w:r>
    </w:p>
    <w:p w:rsidR="00F75321" w:rsidRDefault="004C007A">
      <w:pPr>
        <w:ind w:left="358" w:right="0"/>
      </w:pPr>
      <w:r w:rsidRPr="00D94F78">
        <w:t xml:space="preserve">The Assistant Principal with responsibility for the </w:t>
      </w:r>
      <w:r w:rsidR="00E37215" w:rsidRPr="00D94F78">
        <w:t>wellbeing</w:t>
      </w:r>
      <w:r w:rsidRPr="00D94F78">
        <w:t xml:space="preserve"> programme oversees the implementation of the careers programme. The Assistant Principal also oversees CEIAG and careers appointments for the careers advisor.</w:t>
      </w:r>
      <w:r>
        <w:t xml:space="preserve">  </w:t>
      </w:r>
    </w:p>
    <w:p w:rsidR="00F75321" w:rsidRDefault="004C007A">
      <w:pPr>
        <w:spacing w:after="0" w:line="259" w:lineRule="auto"/>
        <w:ind w:left="0" w:right="0" w:firstLine="0"/>
        <w:jc w:val="left"/>
      </w:pPr>
      <w:r>
        <w:rPr>
          <w:b/>
        </w:rPr>
        <w:t xml:space="preserve"> </w:t>
      </w:r>
    </w:p>
    <w:p w:rsidR="00F75321" w:rsidRPr="00D94F78" w:rsidRDefault="004C007A">
      <w:pPr>
        <w:pStyle w:val="Heading1"/>
        <w:ind w:left="345" w:hanging="360"/>
      </w:pPr>
      <w:r w:rsidRPr="00D94F78">
        <w:t xml:space="preserve">Resources  </w:t>
      </w:r>
    </w:p>
    <w:p w:rsidR="00F75321" w:rsidRDefault="004C007A">
      <w:pPr>
        <w:spacing w:after="0" w:line="259" w:lineRule="auto"/>
        <w:ind w:left="0" w:right="0" w:firstLine="0"/>
        <w:jc w:val="left"/>
      </w:pPr>
      <w:r>
        <w:t xml:space="preserve"> </w:t>
      </w:r>
    </w:p>
    <w:p w:rsidR="00F75321" w:rsidRDefault="004C007A">
      <w:pPr>
        <w:ind w:left="358" w:right="0"/>
      </w:pPr>
      <w:r>
        <w:t xml:space="preserve">The school has accessible careers resources in the library as well as access to a private office for careers </w:t>
      </w:r>
      <w:r w:rsidR="006C339D">
        <w:t>interviews. Careers</w:t>
      </w:r>
      <w:r>
        <w:t xml:space="preserve"> interviews are scheduled for all Year 11 students, with additional interviews arranged on a case by case basis. The Academy has links with various local businesses, HE institutions and the Local Enterprise Network, all of whom offer valuable first hand advice and resource to our students.  </w:t>
      </w:r>
    </w:p>
    <w:p w:rsidR="00F75321" w:rsidRDefault="004C007A">
      <w:pPr>
        <w:spacing w:after="0" w:line="259" w:lineRule="auto"/>
        <w:ind w:left="0" w:right="0" w:firstLine="0"/>
        <w:jc w:val="left"/>
      </w:pPr>
      <w:r>
        <w:t xml:space="preserve"> </w:t>
      </w:r>
    </w:p>
    <w:p w:rsidR="00F75321" w:rsidRDefault="004C007A">
      <w:pPr>
        <w:pStyle w:val="Heading1"/>
        <w:ind w:left="345" w:hanging="360"/>
      </w:pPr>
      <w:r>
        <w:t xml:space="preserve">Monitoring, evaluation and review  </w:t>
      </w:r>
    </w:p>
    <w:p w:rsidR="00F75321" w:rsidRDefault="004C007A">
      <w:pPr>
        <w:spacing w:after="0" w:line="259" w:lineRule="auto"/>
        <w:ind w:left="0" w:right="0" w:firstLine="0"/>
        <w:jc w:val="left"/>
      </w:pPr>
      <w:r>
        <w:t xml:space="preserve"> </w:t>
      </w:r>
    </w:p>
    <w:p w:rsidR="00F75321" w:rsidRDefault="004C007A">
      <w:pPr>
        <w:ind w:left="358" w:right="0"/>
      </w:pPr>
      <w:r>
        <w:t xml:space="preserve">The careers programme is monitored regularly and amended. </w:t>
      </w:r>
      <w:r w:rsidRPr="00D94F78">
        <w:t xml:space="preserve">Trinity Academy </w:t>
      </w:r>
      <w:r w:rsidR="009916A5" w:rsidRPr="00D94F78">
        <w:t>Sowerby</w:t>
      </w:r>
      <w:r w:rsidR="009916A5">
        <w:t xml:space="preserve"> Bridge</w:t>
      </w:r>
      <w:r>
        <w:t xml:space="preserve"> will measure the effectiveness of the CEIAG provision by considering both attainment data and destination data for our students at all transition stages. </w:t>
      </w:r>
    </w:p>
    <w:sectPr w:rsidR="00F75321">
      <w:type w:val="continuous"/>
      <w:pgSz w:w="11906" w:h="16838"/>
      <w:pgMar w:top="724" w:right="1128" w:bottom="1663" w:left="113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0E" w:rsidRDefault="004C007A">
      <w:pPr>
        <w:spacing w:after="0" w:line="240" w:lineRule="auto"/>
      </w:pPr>
      <w:r>
        <w:separator/>
      </w:r>
    </w:p>
  </w:endnote>
  <w:endnote w:type="continuationSeparator" w:id="0">
    <w:p w:rsidR="0062110E" w:rsidRDefault="004C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21" w:rsidRDefault="004C007A">
    <w:pPr>
      <w:tabs>
        <w:tab w:val="center" w:pos="3793"/>
        <w:tab w:val="right" w:pos="8612"/>
      </w:tabs>
      <w:spacing w:after="0" w:line="259" w:lineRule="auto"/>
      <w:ind w:left="-720" w:right="0" w:firstLine="0"/>
      <w:jc w:val="left"/>
    </w:pPr>
    <w:r>
      <w:t xml:space="preserve">Careers Policy  </w:t>
    </w:r>
    <w:r>
      <w:tab/>
      <w:t xml:space="preserve"> </w:t>
    </w:r>
    <w:r>
      <w:tab/>
      <w:t xml:space="preserve">      July 2018 </w:t>
    </w:r>
  </w:p>
  <w:p w:rsidR="00F75321" w:rsidRDefault="004C007A">
    <w:pPr>
      <w:spacing w:after="0" w:line="259" w:lineRule="auto"/>
      <w:ind w:left="-720" w:right="0" w:firstLine="0"/>
      <w:jc w:val="left"/>
    </w:pPr>
    <w:r>
      <w:t xml:space="preserve"> </w:t>
    </w:r>
    <w:r>
      <w:tab/>
      <w:t xml:space="preserve"> </w:t>
    </w:r>
  </w:p>
  <w:p w:rsidR="00F75321" w:rsidRDefault="004C007A">
    <w:pPr>
      <w:spacing w:after="0" w:line="259" w:lineRule="auto"/>
      <w:ind w:left="-72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21" w:rsidRDefault="004C007A">
    <w:pPr>
      <w:tabs>
        <w:tab w:val="center" w:pos="3793"/>
        <w:tab w:val="right" w:pos="8612"/>
      </w:tabs>
      <w:spacing w:after="0" w:line="259" w:lineRule="auto"/>
      <w:ind w:left="-720" w:right="0" w:firstLine="0"/>
      <w:jc w:val="left"/>
    </w:pPr>
    <w:r>
      <w:t>Car</w:t>
    </w:r>
    <w:r w:rsidR="009916A5">
      <w:t xml:space="preserve">eers Policy  </w:t>
    </w:r>
    <w:r w:rsidR="009916A5">
      <w:tab/>
      <w:t xml:space="preserve"> </w:t>
    </w:r>
    <w:r w:rsidR="009916A5">
      <w:tab/>
      <w:t xml:space="preserve">      </w:t>
    </w:r>
    <w:r w:rsidR="00E266F9">
      <w:t>September 2020</w:t>
    </w:r>
  </w:p>
  <w:p w:rsidR="00F75321" w:rsidRDefault="004C007A">
    <w:pPr>
      <w:spacing w:after="0" w:line="259" w:lineRule="auto"/>
      <w:ind w:left="-720" w:right="0" w:firstLine="0"/>
      <w:jc w:val="left"/>
    </w:pPr>
    <w:r>
      <w:t xml:space="preserve"> </w:t>
    </w:r>
    <w:r>
      <w:tab/>
      <w:t xml:space="preserve"> </w:t>
    </w:r>
  </w:p>
  <w:p w:rsidR="00F75321" w:rsidRDefault="004C007A">
    <w:pPr>
      <w:spacing w:after="0" w:line="259" w:lineRule="auto"/>
      <w:ind w:left="-720" w:righ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321" w:rsidRDefault="004C007A">
    <w:pPr>
      <w:tabs>
        <w:tab w:val="center" w:pos="3793"/>
        <w:tab w:val="right" w:pos="8612"/>
      </w:tabs>
      <w:spacing w:after="0" w:line="259" w:lineRule="auto"/>
      <w:ind w:left="-720" w:right="0" w:firstLine="0"/>
      <w:jc w:val="left"/>
    </w:pPr>
    <w:r>
      <w:t xml:space="preserve">Careers Policy  </w:t>
    </w:r>
    <w:r>
      <w:tab/>
      <w:t xml:space="preserve"> </w:t>
    </w:r>
    <w:r>
      <w:tab/>
      <w:t xml:space="preserve">      July 2018 </w:t>
    </w:r>
  </w:p>
  <w:p w:rsidR="00F75321" w:rsidRDefault="004C007A">
    <w:pPr>
      <w:spacing w:after="0" w:line="259" w:lineRule="auto"/>
      <w:ind w:left="-720" w:right="0" w:firstLine="0"/>
      <w:jc w:val="left"/>
    </w:pPr>
    <w:r>
      <w:t xml:space="preserve"> </w:t>
    </w:r>
    <w:r>
      <w:tab/>
      <w:t xml:space="preserve"> </w:t>
    </w:r>
  </w:p>
  <w:p w:rsidR="00F75321" w:rsidRDefault="004C007A">
    <w:pPr>
      <w:spacing w:after="0" w:line="259" w:lineRule="auto"/>
      <w:ind w:left="-72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0E" w:rsidRDefault="004C007A">
      <w:pPr>
        <w:spacing w:after="0" w:line="240" w:lineRule="auto"/>
      </w:pPr>
      <w:r>
        <w:separator/>
      </w:r>
    </w:p>
  </w:footnote>
  <w:footnote w:type="continuationSeparator" w:id="0">
    <w:p w:rsidR="0062110E" w:rsidRDefault="004C0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6486D"/>
    <w:multiLevelType w:val="hybridMultilevel"/>
    <w:tmpl w:val="9918A064"/>
    <w:lvl w:ilvl="0" w:tplc="8FEA7A64">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529F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E3D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1ECD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F2AF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D039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9AC7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DA30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8D5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73A22BD"/>
    <w:multiLevelType w:val="hybridMultilevel"/>
    <w:tmpl w:val="AF5A92D2"/>
    <w:lvl w:ilvl="0" w:tplc="E75C34D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962124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56A0DC8">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7C85E4A">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17EAA0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A9027C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2C8C7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DAA053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F14D68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FA4A3B"/>
    <w:multiLevelType w:val="hybridMultilevel"/>
    <w:tmpl w:val="F28431AA"/>
    <w:lvl w:ilvl="0" w:tplc="A7F8834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7AAB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DA9B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A4EF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2AFC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AEEA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A6E7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21E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EE21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78E7F33"/>
    <w:multiLevelType w:val="hybridMultilevel"/>
    <w:tmpl w:val="245C29F8"/>
    <w:lvl w:ilvl="0" w:tplc="9236ABC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F6BC16">
      <w:start w:val="1"/>
      <w:numFmt w:val="bullet"/>
      <w:lvlText w:val="o"/>
      <w:lvlJc w:val="left"/>
      <w:pPr>
        <w:ind w:left="1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B03034">
      <w:start w:val="1"/>
      <w:numFmt w:val="bullet"/>
      <w:lvlText w:val="▪"/>
      <w:lvlJc w:val="left"/>
      <w:pPr>
        <w:ind w:left="2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0251C0">
      <w:start w:val="1"/>
      <w:numFmt w:val="bullet"/>
      <w:lvlText w:val="•"/>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AA846C">
      <w:start w:val="1"/>
      <w:numFmt w:val="bullet"/>
      <w:lvlText w:val="o"/>
      <w:lvlJc w:val="left"/>
      <w:pPr>
        <w:ind w:left="3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5E8C52">
      <w:start w:val="1"/>
      <w:numFmt w:val="bullet"/>
      <w:lvlText w:val="▪"/>
      <w:lvlJc w:val="left"/>
      <w:pPr>
        <w:ind w:left="4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5CE3E6">
      <w:start w:val="1"/>
      <w:numFmt w:val="bullet"/>
      <w:lvlText w:val="•"/>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A8642A">
      <w:start w:val="1"/>
      <w:numFmt w:val="bullet"/>
      <w:lvlText w:val="o"/>
      <w:lvlJc w:val="left"/>
      <w:pPr>
        <w:ind w:left="5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A01B2C">
      <w:start w:val="1"/>
      <w:numFmt w:val="bullet"/>
      <w:lvlText w:val="▪"/>
      <w:lvlJc w:val="left"/>
      <w:pPr>
        <w:ind w:left="6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625187"/>
    <w:multiLevelType w:val="hybridMultilevel"/>
    <w:tmpl w:val="0120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321"/>
    <w:rsid w:val="000436D7"/>
    <w:rsid w:val="0016576D"/>
    <w:rsid w:val="001B5885"/>
    <w:rsid w:val="0035686E"/>
    <w:rsid w:val="0048029F"/>
    <w:rsid w:val="004C007A"/>
    <w:rsid w:val="0062110E"/>
    <w:rsid w:val="006C339D"/>
    <w:rsid w:val="008306BA"/>
    <w:rsid w:val="009916A5"/>
    <w:rsid w:val="00B17D12"/>
    <w:rsid w:val="00C52D99"/>
    <w:rsid w:val="00D94F78"/>
    <w:rsid w:val="00E266F9"/>
    <w:rsid w:val="00E37215"/>
    <w:rsid w:val="00E5120A"/>
    <w:rsid w:val="00F7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D13A"/>
  <w15:docId w15:val="{F8844F72-6B28-458D-8070-418EC80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6"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4"/>
      </w:numPr>
      <w:spacing w:after="1"/>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91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6A5"/>
    <w:rPr>
      <w:rFonts w:ascii="Arial" w:eastAsia="Arial" w:hAnsi="Arial" w:cs="Arial"/>
      <w:color w:val="000000"/>
    </w:rPr>
  </w:style>
  <w:style w:type="table" w:styleId="TableGrid0">
    <w:name w:val="Table Grid"/>
    <w:basedOn w:val="TableNormal"/>
    <w:uiPriority w:val="39"/>
    <w:rsid w:val="00C52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39D"/>
    <w:pPr>
      <w:spacing w:after="160" w:line="259" w:lineRule="auto"/>
      <w:ind w:left="720" w:right="0" w:firstLine="0"/>
      <w:contextualSpacing/>
      <w:jc w:val="left"/>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c.cripps</dc:creator>
  <cp:keywords/>
  <cp:lastModifiedBy>Helen Singleton</cp:lastModifiedBy>
  <cp:revision>3</cp:revision>
  <dcterms:created xsi:type="dcterms:W3CDTF">2020-12-09T09:35:00Z</dcterms:created>
  <dcterms:modified xsi:type="dcterms:W3CDTF">2020-12-09T09:42:00Z</dcterms:modified>
</cp:coreProperties>
</file>